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FAMILY SETTLEMENT BETWEEN THE HEIRS 0F A DECEASED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FAMILY SETTLEMENT is made at ......... on this ........... day of ......... 2000, between the heirs of A namely (i) B, widow of A, (ii) C son of A, (iii) D daughter of A, (iv) E son of F, the predeceased second son of A, (v) G widow of the third son of 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said A died intestate at .............. on ........... leaving movable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immovable assets, more particularly described in the Schedule hereunder written.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differences and disputes have arisen amongst the legal heirs of said deceased A as to the respective share of the heirs.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hereto desire and have agreed that the disputes and differences between them should be resolved amicably between the parties and litigation amongst the family members should be avoided.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In pursuance of the said agreement and in consideration of the premises, the parties aforementioned have agreed that the estate of the deceased shall be distributed amongst the heirs of the deceased as under: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parties hereby declare that they have taken the independent advice from their respective advocates and they know the true meaning and effect of this deed.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set and subscribed their hands to this writing the day and year first hereinabove written.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of movable and immovable assets left by A.</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A</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B</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C</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G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