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OF PROPERTY TO VARIOUS PURCHASERS AS TENANTS INCOMMON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HIS Deed of Sale made at ………..this ………..day of...................20………..between A, son of ………..resident of ……….. (hereinafter referred to as the Vendor) of………..the ONE PART and (i) B, son of ………..resident of..............................</w:t>
        <w:tab/>
        <w:t xml:space="preserve">(ii) C, son of </w:t>
        <w:tab/>
        <w:t xml:space="preserve">resident of ...............................</w:t>
        <w:tab/>
        <w:t xml:space="preserve">(iii)D, son of ………..resident of ..………........................(hereinafter collectively referred to as the Purchasers)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WITNESSETH AS FOLLOWS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consideration of Rs . ………..paid to the  Vendor by the urchaser in equal shares (the receipt whereof the Vendor hereby </w:t>
        <w:tab/>
        <w:t xml:space="preserve">acknowledges), the Vendor hereby grants, conveys, transfers and sells</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to the Purchasers all that property described in the Schedule hereto, to  have and to hold the same unto the Purchasers as absolute owners in equal shares free from encumbrance or charge.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AND THE VENDOR COVENANTS with the Purchasers that they, the Purchasers may at all times hereafter possess the said property and enjoy the said property hereby conveyed, transferred and sold to them without any obstruction, interference or hindrance by or on behalf of the Vendor or any person or persons claiming under or through him.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VENDOR at any time hereafter at the request and cost of the Purchasers do and execute all such acts, things and deeds as may be reasonably required more effectively to transfer and assure the property hereby sold, transferred and conveyed to the Purchasers.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hereto set and subscribed their respective hands on the day and year first abovementioned.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Vendor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Purchaser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