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SPECIAL DAMAGE BY TENANT AGAINST LANDLORD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On the................... day of................... 19............ the defendant, by a registered instrument, let to the plaintiff (the house No.................... ) for the term of................... years, contracting with the plaintiff, that he, the plaintiff, and his legal representatives should quietly enjoy possession thereof for the said term.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All conditions were fulfilled and all things happened necessary to entitle the plaintiff to maintain this suit.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On the................... day of................... 19.................... during the said term E. F. who was the lawful owner of the said house, lawfully evicted the plaintiff therefrom and still withholds possession thereof from him.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plaintiff was thereby prevented from continuing the business of a tailor at the said place, was compelled to expend................... rupees in moving and lost...................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plaintiff has thus suffered a special damage of Rs.................... due to the wrongful act of the defendant.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plaintiff demanded the amount aforesaid of special damage from the defendant through a registered notice served on the defendant to which defendant replied vide his letter dated.................. 19................... received by the plaintiff on ................... 19...................</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cause of action arose within the jurisdiction of this Court on.............. 19........... when the defendant received the notice of plaintiff, and lastly on............. 19.......... when the defendant refused his liability for any special damage. 8. The suit is valued at Rs......... and court fee is paid thereon.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 CLAIMED: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Rs.................... as special damages from the defendant with costs of the suit.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72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328738" cy="1328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1328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