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EVICTION ON GROUND OF FORFEITURE OF TENANCY DUE TO BREACH OF COVENANT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plaintiff let out House No..................... situate at....................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Mohalla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town.................... to the defendant on.................... 19.................... at a monthly rent of Rs..................... through a deed of lease dated .................... 19....................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in the said deed of lease it was covenanted that the defendant would pay rent regularly by 10th of every month of the British Calendar and if he fails to pay any three months successively or if he sublets any portion of the said house to any body or if he uses the house or any portion thereof for commercial or industrial purpose, or makes any alteration in the house construction, the tenancy would automatically be deemed to have been terminated, and the defendant would be liable to eviction with damages and mesne profits for which he would be found liable.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defendant failed to pay the rent of the last five months beginning from.................... 19.................... to.................... amounting to Rs..................... and the tenancy is automatically terminated and the defendant is liable to eviction and for arrears of rent and mesne profits. However a notice terminating his tenancy was served upon him on.................... 19.................... as required by statute.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cause of action arose on.................... 19.................... when the tenant failed to pay the rent of continuous three months from.................... 19.................... to.................... 19.................... and this Court has jurisdiction to try the suit.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suit is valued at Rs..................... the twelve months total rent of the house for the purpose of valuation and Rs..................... for purpose of payment of court fee, and Rs..................... in court fee labels are paid according to the reliefs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RELIEFS CLAIMED: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the following reliefs: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defendant be evicted from the house aforesaid, and possession be delivered to the plaintiff;</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payment of Rs..................... as the amount of the rent due for five months and mesne profits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pendents lite.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423988" cy="1423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14239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