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EJECTMENT AND MESNE PROFITS ON EXPIRY OF THE TERM OF TENANCY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let out his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Kothi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situate at.................... to the defendant for a fixed period of eleven months from.................... 19.................... to.................... 19..................... at a monthly rent of Rs..................... and the whole rent for the period was paid in advance on.................... 19....................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term aforesaid has expired but the defendant has not vacated the Kothi abovementioned.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cause of action arose on.................... 19.................... when the term of tenancy expired, and this court has jurisdiction to decide the matter.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suit is valued at Rs..................... the twelve times of the monthly rent for the purpose of jurisdiction and Rs,.................... for purpose of court-fee.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Eviction of the defendant from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Kothi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aforementioned and delivery of possession thereof to the plaintiff.</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Mesne profits after the expiry of the term of tenancy upto date of filing the suit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andpendente lite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till possession is delivered to the plaintiff.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252538" cy="1252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538" cy="1252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