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TRAVELLER'S CHEQUE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Payable in all countries of the world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Payable within six months from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 .....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No . .........................................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Drawer's Endorsement ...................................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 xml:space="preserve">(To be signed in the presence of the paying banker)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The…………………Bank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Pay self or order.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4320"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Signature of drawer ..........................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04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Signature of Drawer .....................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Manager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…………………………….Bank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…………………………..Branch,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For the equivalent abroad at the current rate of exchange.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909638" cy="9096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638" cy="909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