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Written Statements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(General Defences)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Denial - The defendant denies that facts.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does not admit that facts.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admits that …………………… but says that ………..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denies that he is a partner in the defendant firm of ……………………….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Protest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denies that he made the contract alleged or any contact with the plaintiff.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denies that he contracted with plaintiff as alleged or at all.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admits assets but not the plaintiff’s claim.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denies that the plaintiff sold to him the goods mentioned in the plaint or any of them.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Limitation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suit is barred by article …………………. or article …………….. of the Second Schedule to the [Indian Limitation Act, 1877 (15 of 1877)].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Jurisdiction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Court has no jurisdiction to hear the suit on the ground that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set forth the grounds.)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On the …………….. day of ……………. a diamond ring was delivered by the defendant to and accepted by the plaintiff in discharge of the alleged cause of action.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Res judicata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plaintiff’s claim is barred by the decree in suit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give the reference)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Estoppel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plaintiff is estopped from denying the truth of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insert statement as to which estoppel is claimed) because (here state the facts relied on as creating the estoppel).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Insolvency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has been adjudged an insolvent.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plaintiff before the institution of the suit was adjudged an insolvent and the right to sue vested in the receiver.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Minority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was a minor at the time of making the alleged contract.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Payment into Court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defendant as to the whole claim (or as Rs………. part of (the money claimed, or as the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case may be)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has paid into Court Rs……… and says that this sum is enough to satisfy the plaintiff’s claim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or the part aforesaid).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Performance remitted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performance of the promise alleged was remitted on the ………….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Data).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Rescission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contract was rescinded by agreement between the plaintiff and defendant.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Ground of defence subsequent to institution of suit -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Since the institution of the suit, that is to say, on the ……………… day of ………….. (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Set out facts).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1604963" cy="1604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604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