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SPECIAL POWER OF ATTORNEY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Know all men by these presents that I......................... son of......................... resident of......................... do hereby nominate, constitute and appoint Shri ......................... as my true and lawful attorney in my name and on my behalf to do and transact all or any of the acts, deeds or things namely the following: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 sign execute and file all applications, documents returns, objections and other papers that may be required from or on my behalf in relation to any matter before the Central Government, State Government, Central and State Sales Tax authorities, authorities under the Shops and Establishments Act, customs and Central Excise and Municipal authorities, Local-self Government Bodies, Corporations and to present appear and file and do all acts and things on my behalf either himself or through counsel(s) before the concerned authorities in the State of.........................</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And I declare that all acts, deeds and things done executed or performed under or by virtue of these presents by my said attorney shall be binding on me.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witness whereof I the said......................... have set my hands this ......................... day of......................... 19.........................</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Signature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CASE LAW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SCOPE OF POWER OF ATTORNEY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Courts of law are bound in a power of attorney, but they cannot refuse to recognise the implied powers conferred therein. It implies the power to file suit on behalf of the executant in his name or otherwise and for his use and benefit.1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WHEN SERVICE ON COUNSEL IS NOT SUFFICIENT SERVICE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Where the counsel stated that he has not been engaged in the appeal, it means that the duration of his appointment was up to the lower court, and any service of summons in appeal upon such counsel is not a sufficient service.2</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Dinesh Chand v. Bitola Devi, A. I. R. 1984 All. 116: 1983 All. C. J. 621.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Kundan Lal Jain v. Municipal Corporation of Delhi, A. I. R. 1984 Delhi 231: 1984 Rajdh. L. R. 255.</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1557338" cy="15573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57338" cy="1557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