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SPECIAL POWER OF ATTORNEY IN SALES TAX PROCEEDINGS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I, KN, partner M/s , , do hereby appoint Mr. SK as attorney of the firm and authorise him to conduct sales-tax proceedings for the Assessment year . and do all other works concerning with sales-tax as giving statement on oath, collecting departmental forms like C Form, Forms, Forms 31 etc.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All the works done by the said attorney shall be deemed to have been done by the firm and shall be binding on the firm and its partners.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The specimen signature of the said attorney Mr. SK is given on the left side of this deed.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Signature of For Kailash Enterprises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(SK) Signature of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(KN)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Partner</w:t>
      </w:r>
    </w:p>
    <w:sectPr>
      <w:headerReference r:id="rId6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inline distB="114300" distT="114300" distL="114300" distR="114300">
          <wp:extent cx="1243013" cy="124301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013" cy="1243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32.0pt;height:43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