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APPEAL BEFORE STATE COMMISSION UNDER SECTION 15 OF CONSUMER PROTECTION ACT.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STATE CONSUMER DISPUTES REDRESSAL COMMISSION AT....................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Appeal under Section 15 of the Consumer Protection Act against the order of District Forum.................... (mention place)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 (add description and residence)....................................... Appellant/Appellants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D. (add description and residence)................................. Respondent/Respondents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Hon’ble President and his companion members of State Commission.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Appellant/Appellants most respectfully showeth:</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This is in appeal under Section 15 against the Order of the District Forum .................... (name of place) dated.................... in Consumer Complaint No. .................... of 19....................</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appeal is being filed within a period of 30 days from the date of Order as per the provisions of Section 15 of the Consumer Protection 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appeal is being filed after the expiry of period of 30 days as it could not be filed within the prescribed period for the reasons mentioned in the application filed along with this appeal for condonation of delay. The said application is being disputed by an Affidavit.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Grounds of objections to the order appealed against may be set forth concisely and under distinct heads without any argument or narrative; such grounds are to be numbered consecutively.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Prayer clause with details of relief/reliefs being claimed are to be stated.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Appellant/Appellants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Dale.................... </w:t>
        <w:tab/>
        <w:tab/>
        <w:tab/>
        <w:tab/>
        <w:tab/>
        <w:tab/>
        <w:tab/>
        <w:tab/>
        <w:tab/>
        <w:tab/>
        <w:tab/>
        <w:tab/>
        <w:tab/>
        <w:tab/>
        <w:t xml:space="preserve">In person or through Counsel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Annexure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Certified copy of order appealed against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Section 15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APPEAL.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aggrieved by an order made by the District Forum may prefer an appeal against such order to the State Commission within a period of thirty days from the date of the order, in such form and manner as may be prescribed: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the State Commission may entertain an appeal after the expiry of the said period of thirty days if it is satisfied that there was sufficient cause for not filing it within that period.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 for hearing appeal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(Rule 15 of Consumer Protection Rules, 1987)</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Memorandum shall be presented by the appellant or his agent to the State Commission in person or be sent by registered post addressed to the Commission.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Every memorandum filed under sub-rule (1) shall be in legible handwriting preferably typed and shall set forth concisely under distinct heads, the grounds of appeal without any argument or narrative and such ground shall be numbered consecutively.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Each memorandum shall be accompanied by a certified copy of the order of the District Forum appealed against and such of the documents, as may be required to support grounds of objection mentioned in the memorandum.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When the appeal is presented after the expiry of the period of limitation as specified in the Act, the memorandum shall be accompanied by an application supported by an affidavit setting forth the facts on which the appellant relies to satisfy the State Commission that he has sufficient cause for not preferring the appeal within the period of limitation.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The appellant shall submit six copies of the memorandum to the Commission for official purpose.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On the date of hearing or on any other day to which hearing may be adjourned, it shall be obligatory for the parties or their agents to appear before the State Commission. If appellant or his agent fails to appear on such date, the State Commission may in its discretion either dismiss the appeal or decide ex parte on merits. If the respondent or his agent fails to appear on such date, the State Commission shall proceed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 parte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shall decide the appeal on merits of the case.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The State Commission on such term as it may think fit and at any stage, adjourn the hearing of the appeal, but not more than one adjournment shall ordinarily be given and the appeal should be decided, as far as possible within 90 days from the first date of hearing.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262063" cy="1262063"/>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62063"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