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BY A LEGATEE IN FAVOUR OF AN EXECUTOR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of Release made this ……….day of ….20……….between A, son of resident of ……….of the ONE PART and B, son of resident of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one X died on ………. day of ……….20 ……….at................leaving a will dated whereby and where under he appointed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as the executor of his estate unto and in favour of the said A absolutely and forever.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will was duly proved in the ................... Court and probate thereof was granted unto and in favour of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on the day of ……….20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has duly and faithfully administered the estate of said X and filed the account and inventory in the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Court on ……….and otherwise completed the administration thereof.</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A is fully satisfied with the correctness of the accounts and that he has not committed any act or mismanagement, waste, misfeasance or malfeasance in the course of the administration thereof.</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DEED WITNESSETH THAT</w:t>
      </w:r>
      <w:r w:rsidDel="00000000" w:rsidR="00000000" w:rsidRPr="00000000">
        <w:rPr>
          <w:rFonts w:ascii="Arial" w:cs="Arial" w:eastAsia="Arial" w:hAnsi="Arial"/>
          <w:smallCaps w:val="0"/>
          <w:rtl w:val="0"/>
        </w:rPr>
        <w:t xml:space="preserve"> in the circumstances aforesaid, the said A does hereby release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from all claims, proceedings, costs and demands whatsover in relation to management or administration of the estate and affairs ancillary or incidental thereto and from all flabilities as to accounts, and dealing with the said estate of the testator or the income thereof</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said A has set his hand the day, month and year first above written.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tab/>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drawing>
        <wp:inline distB="114300" distT="114300" distL="114300" distR="114300">
          <wp:extent cx="1090613" cy="109061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90613"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