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DAMAGES FOR WRONGFUL DISTURBANCE CAUSED BY LANDLORD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plaintiff took a Building No..................... situate at.................... in town.................... the boundaries of which are given below, on.................... 19 .................... through a registered lease deed for ten years on a monthly rent of Rs. .................... to run a.................... School therein.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defendant has set up some machines of Printing Press in the adjacent building No..................... in the month of.................... 19.................... in the same locality, the working of which machines and the personnel of the defendant create great noise and disturbance in the teachings and studies of the teachers and students of the institution of the plaintiff.</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plaintiff gave registered notice to the defendant to stop the nuisance forthwith and for damages caused thereby upto date at the rate of Rs. .................... per month, which notice was received by the defendant on.................... 19.................... The defendant has denied his liability through his reply received by the plaintiff on.................... and has asserted his right to do so.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cause of action arose on.................... 19.................... when the defendant began to work on the printing machines in the adjacent building, and lastly on.................... when the plaintiff received the reply of the defendant denying his duty to stop the nuisance and to pay damages claimed by the plaintiff. This Court has jurisdiction to try the suit.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 suit is valued at Rs..................... for the purpose of jurisdiction, and Rs..................... for the purpose of payment of court fee and court fee is paid according to the reliefs claimed.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RELIEFS CLAIMED: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plaintiff claims the following reliefs: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defendant may be restrained by issue of a permanent mandatory injunction for ten years the period of tenancy of the plaintiff</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restraining the defendant from committing or continuing any nuisance as the present one which disturbs the teachers and students of the institution of the plaintiff.</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payment of damages at the rate of Rs..................... per month caused by the defendant to the plaintiff upto date.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040" w:right="0" w:firstLine="72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Plaintiff</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1166813" cy="11668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66813" cy="11668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