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GIVEN TO A COURT BY A PERSON INTERESTED FOR SAFE CUSTODY OF MOVABLE PROPERTIES ATTACHED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Under order XXI, Rule 43, Code of Civil Procedure, 1908)</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In the court of ……..at ……..Civil Suit No . ……..of……..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                                    </w:t>
        <w:tab/>
        <w:tab/>
        <w:tab/>
        <w:t xml:space="preserve">Plaintiff</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tab/>
        <w:tab/>
        <w:tab/>
        <w:t xml:space="preserve"> versus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                                   </w:t>
        <w:tab/>
        <w:tab/>
        <w:tab/>
        <w:tab/>
        <w:t xml:space="preserve">  Defendant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C, son of...........................</w:t>
        <w:tab/>
        <w:t xml:space="preserve">resident of ……..D son of...............</w:t>
        <w:tab/>
        <w:t xml:space="preserve">resident of and, E son of ……..resident of……..are jointly and severally bound to the Judge of the Court of </w:t>
        <w:tab/>
        <w:t xml:space="preserve">in Rs............</w:t>
        <w:tab/>
        <w:t xml:space="preserve">to be paid to the said judge for the payment of which, we bind ourselves, and each of us in the whole, our and each of our heirs, executors, administrators and representatives jointly and severally by these presents.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Dated this ……..day of……..20</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movable property, the details of which have been mentioned in the Schedule attached herewith, has been attached under a warrant from the said court dated the </w:t>
        <w:tab/>
        <w:t xml:space="preserve">day of </w:t>
        <w:tab/>
        <w:t xml:space="preserve">20 ……..in execution of a decree in favour of ……..in civil suit No . ……..of  20……..on the file of ……..and the said movable property has been left in the charge of the said C.</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 OF THE ABOVE WRITTEN</w:t>
      </w:r>
      <w:r w:rsidDel="00000000" w:rsidR="00000000" w:rsidRPr="00000000">
        <w:rPr>
          <w:rFonts w:ascii="Arial" w:cs="Arial" w:eastAsia="Arial" w:hAnsi="Arial"/>
          <w:smallCaps w:val="0"/>
          <w:rtl w:val="0"/>
        </w:rPr>
        <w:t xml:space="preserve"> obligation is that in the event of the above C shall duly account for and produce when required before the said court, the movable property afore said and shall obey any further order and direction of the court in respect thereof, then this obligation shall be void and of no effect, otherwise it shall be and remain in full force and virtue.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above bounden C, and sureties D and 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tab/>
        <w:tab/>
        <w:tab/>
        <w:t xml:space="preserve">Schedule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 xml:space="preserv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ab/>
        <w:t xml:space="preserve">C</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                                                </w:t>
        <w:tab/>
        <w:tab/>
        <w:tab/>
        <w:tab/>
        <w:tab/>
        <w:t xml:space="preserv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 xml:space="preserve">D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3.                                                              </w:t>
        <w:tab/>
        <w:tab/>
        <w:tab/>
        <w:tab/>
        <w:tab/>
        <w:t xml:space="preser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ab/>
        <w:tab/>
        <w:t xml:space="preserve">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