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APPLICATION FOR DETERMINATION OF THE AMOUNT FROM THE EMPLOYER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Form K 3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[See rule 62(2)]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Application under sub section (2) of section 33C of the Industrial Disputes Act, 1947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Before the Central Government Labour Court at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Between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Name of the applicant(s).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Name of the employer.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petitioner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……………..……………..……………..……………..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 workman of /The petitioners undersigned, workmen of M/S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is/are entitled to receive from the said M/s.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.............the money/benefits mentioned in the statement hereto annexed.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It is prayed that the Court be pleased to determine the amount/amounts due to the petitioner(s).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 xml:space="preserve">Address(es)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Station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  <w:tab/>
        <w:tab/>
        <w:tab/>
        <w:tab/>
        <w:tab/>
        <w:tab/>
        <w:t xml:space="preserve">Signature or thumb impression(s) of the applicant(s)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  <w:tab/>
        <w:t xml:space="preserve">  </w:t>
        <w:tab/>
        <w:tab/>
        <w:tab/>
        <w:tab/>
        <w:tab/>
        <w:t xml:space="preserve">1.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2.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3.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 xml:space="preserve">4.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ANNEXURE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[Here set out details of the money due or the benefits accrued together with the case for their admissibility.]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709738" cy="17097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