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2790"/>
        </w:tabs>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UNDERWRITE DEBENTURES TO BE ISSUED BY A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the…………….day of…………….between AB Co Ltd, a company incorporated under the Companies Act, 1956 and having its registered office at…………….(hereinafter called "the company", which expression shall unless it be repugnant to the context or meaning, mean and include its successors and assigns) of the ONE PART and Shri X, son of…………….resident of ……………. (hereinafter called "the underwriter", which expression shall unless it be repugnant to the context or meaning, mean and include his heirs, legal representatives, executors and administrators)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company proposes to offer for public subscription........14% non convertible debentures, which is to be constituted and secured by a trust deed framed in accordance with the terms of the draft and initialed by Shri…………….Solicitor for the purpose of identification; 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company wants to get the said issue underwritten and the underwriter has agreed to underwrite the said issue.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IT IS HEREBY AGREED BETWEEN THE PARTIES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company will issue for public subscription…………….14% non  convertible debentures in terms of the prospectus, the draft of which is annexed hereto.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If the debenture issue aforesaid is not taken up and allotted to other persons within………days of the first publication of the prospectus, the underwriter shall take up and pay for the debentures at par not taken up by the public. If all the said debentures issued to the public are taken up and allotted to the members of the public, the responsibility of the underwriter will cease and he shall not be liable to take up and pay for any debenture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In consideration of the obligation so imposed on the underwriter, the company shall pay to the underwriter commission at the rate of………per cent on the debentures subscribed for and allotted to the members of the public, other than the underwriters.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underwriter shall be entitled to fix the premium on which should be offered for public subscription by the said debentures prospectus. However, if he does not specify the same within days after notice in writing from the company requiring him to specify the same, the company shall be entitled to fix the premium on which the debentures should be offered for public subscription.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This agreement shall be executed in duplicate. The original shall be retained by the company and the duplicate by the underwriter.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set their respective hands the day and year first hereinabove written.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sealed and delivered by the within named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company A B Co. Ltd., by the hand of its duly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constituted Attorney Shri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X, the within named underwriter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757363" cy="17573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57363" cy="1757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