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FORM BETWEEN OWNER AND A BUILDER  FOR CONSTRUCTION OF THE BUILDING</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on this ............. day of ..................2000, between Shri........................ S/o ....................... resident of .............................. (hereinafter called 'the owner' which expression shall unless repugnant to the context or meaning thereof, be deemed to include his heirs, legal representatives, executors and administrators) of the ONE PART and M/s ABC Builders &amp; 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first party is the owner of the plot of land admeasuring .................... sq. meters bearing plot No. ........... city survey No. ...................... Khasra No. ..................... situate, lying and being at ...................... Tahsil and District ...................... (hereinafter referred to as the "said plot of land") and is desirous of getting a house constructed on the said plot of land.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first party has appointed Shri ................. as the architect and the said architect has prepared the plans, drawings and elevations of the said intended house and the specification of the works to be done and of the materials.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second party is a big contractor and is having vast experience in construction of big buildings and has agreed to construct the house on the said plot of land.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BY AND BETWEEN THE PARTIES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Rs.......... per day (but subject to a maximum of 2% of the total contract amount payable by the owner under this agreement) for the period between the said stipulated time for completion of the works. The builders hereby specifically agree and authorise the owner to deduct such liquidated damages, if any, from any installment of payment becoming due and payable to the builders in terms of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1562100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owner will pay to the builders a sum of Rs............. out of which the owner shall pay to the builders weekly such sum as may be sufficient to defray the expenses incurred by the builders in respect of materials used in the works, checked and certified by the architect, Rs ......... on the certificate by the architect that the work upto first floor has been completed, the further sum of Rs ............. on the certificate by the architect that the work upto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utilise the retention money; Provided further 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owner shall allow free ingress to and egress from the premises to the builders servants, employees, sub-contractors and all other persons, who are necessary in connection with the carrying out of the works under the agreement.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days notice through the said architect in writing to the builders terminate the licence in favour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1524000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realised. The architect shall thereafter ascertain and certify in writing, what (if any thing)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2543175</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builders shall be bound to appoint an engineer competent to receive instructions from the architect from time to time, on behalf of the builders at all reasonable hours and all directions given to him by the architect shall be deemed to have been given to the builders.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tour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4924425</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This agreement shall be executed in duplicate, the original shall be retained by the owner and the duplicate by the builders.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and a duplicate thereof, the day and year first hereinabove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Signed and delivered by .................... the owner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M/s ABC Builders and Contractors,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builders, by its partners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576388" cy="15763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